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554EA" w14:textId="77777777" w:rsidR="005D191B" w:rsidRPr="00946AA9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</w:t>
      </w:r>
      <w:r w:rsidR="003C23EF">
        <w:rPr>
          <w:rFonts w:ascii="Arial" w:hAnsi="Arial" w:cs="Arial"/>
          <w:b/>
          <w:bCs/>
          <w:sz w:val="24"/>
        </w:rPr>
        <w:t>1</w:t>
      </w:r>
      <w:r w:rsidR="000C1394">
        <w:rPr>
          <w:rFonts w:ascii="Arial" w:hAnsi="Arial" w:cs="Arial"/>
          <w:b/>
          <w:bCs/>
          <w:sz w:val="24"/>
        </w:rPr>
        <w:t>4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348CF">
        <w:rPr>
          <w:rFonts w:ascii="Arial" w:hAnsi="Arial" w:cs="Arial"/>
          <w:b/>
          <w:bCs/>
          <w:sz w:val="24"/>
        </w:rPr>
        <w:t>R1</w:t>
      </w:r>
      <w:r w:rsidR="0082052D">
        <w:rPr>
          <w:rFonts w:ascii="Arial" w:hAnsi="Arial" w:cs="Arial"/>
          <w:b/>
          <w:bCs/>
          <w:sz w:val="24"/>
        </w:rPr>
        <w:t>-23</w:t>
      </w:r>
      <w:r w:rsidR="005F6AD1">
        <w:rPr>
          <w:rFonts w:ascii="Arial" w:hAnsi="Arial" w:cs="Arial"/>
          <w:b/>
          <w:bCs/>
          <w:sz w:val="24"/>
        </w:rPr>
        <w:t>0</w:t>
      </w:r>
      <w:r w:rsidR="000C1394">
        <w:rPr>
          <w:rFonts w:ascii="Arial" w:hAnsi="Arial" w:cs="Arial"/>
          <w:b/>
          <w:bCs/>
          <w:sz w:val="24"/>
        </w:rPr>
        <w:t>7593</w:t>
      </w:r>
    </w:p>
    <w:p w14:paraId="0E9764F7" w14:textId="77777777" w:rsidR="005F6AD1" w:rsidRPr="00946AA9" w:rsidRDefault="000C1394" w:rsidP="005F6AD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T</w:t>
      </w:r>
      <w:r>
        <w:rPr>
          <w:rFonts w:ascii="Arial" w:hAnsi="Arial" w:cs="Arial"/>
          <w:b/>
          <w:bCs/>
          <w:sz w:val="24"/>
          <w:lang w:eastAsia="ko-KR"/>
        </w:rPr>
        <w:t>oulouse</w:t>
      </w:r>
      <w:r w:rsidR="005F6AD1" w:rsidRPr="00885C40">
        <w:rPr>
          <w:rFonts w:ascii="Arial" w:hAnsi="Arial" w:cs="Arial"/>
          <w:b/>
          <w:bCs/>
          <w:sz w:val="24"/>
        </w:rPr>
        <w:t>,</w:t>
      </w:r>
      <w:r w:rsidR="005F6AD1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France</w:t>
      </w:r>
      <w:r w:rsidR="005F6AD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</w:t>
      </w:r>
      <w:r w:rsidR="005F6AD1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21</w:t>
      </w:r>
      <w:r>
        <w:rPr>
          <w:rFonts w:ascii="Arial" w:hAnsi="Arial" w:cs="Arial"/>
          <w:b/>
          <w:bCs/>
          <w:sz w:val="24"/>
          <w:vertAlign w:val="superscript"/>
        </w:rPr>
        <w:t>st</w:t>
      </w:r>
      <w:r w:rsidR="005F6AD1">
        <w:rPr>
          <w:rFonts w:ascii="Arial" w:hAnsi="Arial" w:cs="Arial"/>
          <w:b/>
          <w:bCs/>
          <w:sz w:val="24"/>
        </w:rPr>
        <w:t xml:space="preserve"> </w:t>
      </w:r>
      <w:r w:rsidR="005F6AD1" w:rsidRPr="00885C40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Aug</w:t>
      </w:r>
      <w:r w:rsidR="005F6AD1" w:rsidRPr="00885C40"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hAnsi="Arial" w:cs="Arial"/>
          <w:b/>
          <w:bCs/>
          <w:sz w:val="24"/>
        </w:rPr>
        <w:t>5</w:t>
      </w:r>
      <w:r w:rsidR="005F6AD1"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th</w:t>
      </w:r>
      <w:r w:rsidR="005F6AD1" w:rsidRPr="00885C40">
        <w:rPr>
          <w:rFonts w:ascii="Arial" w:hAnsi="Arial" w:cs="Arial"/>
          <w:b/>
          <w:bCs/>
          <w:sz w:val="24"/>
        </w:rPr>
        <w:t>, 2023</w:t>
      </w:r>
    </w:p>
    <w:p w14:paraId="672A6659" w14:textId="77777777" w:rsidR="005D191B" w:rsidRPr="005F6AD1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0A37501D" w14:textId="77777777" w:rsidR="005D191B" w:rsidRPr="00085056" w:rsidRDefault="005D191B" w:rsidP="005D191B">
      <w:pPr>
        <w:rPr>
          <w:sz w:val="24"/>
        </w:rPr>
      </w:pPr>
    </w:p>
    <w:p w14:paraId="451CF461" w14:textId="77777777"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="00C0121B">
        <w:rPr>
          <w:rFonts w:ascii="Arial" w:hAnsi="Arial"/>
          <w:b/>
          <w:sz w:val="24"/>
        </w:rPr>
        <w:tab/>
      </w:r>
      <w:r w:rsidR="00C0121B" w:rsidRPr="000348CF">
        <w:rPr>
          <w:rFonts w:ascii="Arial" w:hAnsi="Arial"/>
          <w:b/>
          <w:sz w:val="24"/>
        </w:rPr>
        <w:t>9.</w:t>
      </w:r>
      <w:r w:rsidR="005F6AD1">
        <w:rPr>
          <w:rFonts w:ascii="Arial" w:hAnsi="Arial"/>
          <w:b/>
          <w:sz w:val="24"/>
        </w:rPr>
        <w:t>9</w:t>
      </w:r>
      <w:r w:rsidRPr="000348CF">
        <w:rPr>
          <w:rFonts w:ascii="Arial" w:hAnsi="Arial"/>
          <w:b/>
          <w:sz w:val="24"/>
        </w:rPr>
        <w:t>.1</w:t>
      </w:r>
    </w:p>
    <w:p w14:paraId="1E315938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</w:t>
      </w:r>
      <w:r w:rsidR="003C23EF">
        <w:rPr>
          <w:rFonts w:ascii="Arial" w:hAnsi="Arial"/>
          <w:b/>
          <w:sz w:val="24"/>
        </w:rPr>
        <w:t xml:space="preserve"> Company</w:t>
      </w:r>
    </w:p>
    <w:p w14:paraId="6CBA98CE" w14:textId="77777777" w:rsidR="005D191B" w:rsidRPr="00DB0345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767" w:hangingChars="750" w:hanging="1767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</w:r>
      <w:r w:rsidR="007F5BF1" w:rsidRPr="007F5BF1">
        <w:rPr>
          <w:rFonts w:ascii="Arial" w:hAnsi="Arial"/>
          <w:b/>
          <w:sz w:val="24"/>
        </w:rPr>
        <w:t xml:space="preserve">Discussion on </w:t>
      </w:r>
      <w:r w:rsidR="0082052D">
        <w:rPr>
          <w:rFonts w:ascii="Arial" w:hAnsi="Arial" w:hint="eastAsia"/>
          <w:b/>
          <w:sz w:val="24"/>
          <w:lang w:eastAsia="ko-KR"/>
        </w:rPr>
        <w:t>c</w:t>
      </w:r>
      <w:r w:rsidR="0082052D">
        <w:rPr>
          <w:rFonts w:ascii="Arial" w:hAnsi="Arial"/>
          <w:b/>
          <w:sz w:val="24"/>
          <w:lang w:eastAsia="ko-KR"/>
        </w:rPr>
        <w:t>overage enhancement for NR NTN</w:t>
      </w:r>
    </w:p>
    <w:p w14:paraId="0E1955EB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14:paraId="5DAB6C7B" w14:textId="77777777" w:rsidR="005D191B" w:rsidRPr="0052548E" w:rsidRDefault="005D191B" w:rsidP="005D191B">
      <w:pPr>
        <w:pBdr>
          <w:bottom w:val="single" w:sz="4" w:space="1" w:color="auto"/>
        </w:pBdr>
      </w:pPr>
    </w:p>
    <w:p w14:paraId="3E7A9F1C" w14:textId="77777777" w:rsidR="0082052D" w:rsidRDefault="0082052D" w:rsidP="0082052D">
      <w:pPr>
        <w:pStyle w:val="1"/>
      </w:pPr>
      <w:r>
        <w:t>Introduction</w:t>
      </w:r>
    </w:p>
    <w:p w14:paraId="2EF599D7" w14:textId="77777777" w:rsidR="0082052D" w:rsidRDefault="0082052D" w:rsidP="0083174B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>
        <w:rPr>
          <w:rFonts w:ascii="Times New Roman" w:hAnsi="Times New Roman"/>
          <w:sz w:val="22"/>
          <w:lang w:eastAsia="ko-KR"/>
        </w:rPr>
        <w:t>the Rel-18</w:t>
      </w:r>
      <w:r w:rsidRPr="00A23896">
        <w:rPr>
          <w:rFonts w:ascii="Times New Roman" w:hAnsi="Times New Roman"/>
          <w:sz w:val="22"/>
          <w:lang w:eastAsia="ko-KR"/>
        </w:rPr>
        <w:t xml:space="preserve"> WID for NR </w:t>
      </w:r>
      <w:r>
        <w:rPr>
          <w:rFonts w:ascii="Times New Roman" w:hAnsi="Times New Roman"/>
          <w:sz w:val="22"/>
          <w:lang w:eastAsia="ko-KR"/>
        </w:rPr>
        <w:t>NTN coverage enhancements</w:t>
      </w:r>
      <w:r w:rsidRPr="00A23896">
        <w:rPr>
          <w:rFonts w:ascii="Times New Roman" w:hAnsi="Times New Roman"/>
          <w:sz w:val="22"/>
          <w:lang w:eastAsia="ko-KR"/>
        </w:rPr>
        <w:t xml:space="preserve">, </w:t>
      </w:r>
      <w:r w:rsidRPr="00BF23EA">
        <w:rPr>
          <w:rFonts w:ascii="Times New Roman" w:hAnsi="Times New Roman"/>
          <w:sz w:val="22"/>
          <w:lang w:eastAsia="ko-KR"/>
        </w:rPr>
        <w:t xml:space="preserve">an objective to study and specify support of coverage enhancement for NR NTN is </w:t>
      </w:r>
      <w:r w:rsidR="007F2BF9">
        <w:rPr>
          <w:rFonts w:ascii="Times New Roman" w:hAnsi="Times New Roman"/>
          <w:sz w:val="22"/>
          <w:lang w:eastAsia="ko-KR"/>
        </w:rPr>
        <w:t>provided in [1].</w:t>
      </w:r>
    </w:p>
    <w:p w14:paraId="74495E97" w14:textId="77777777" w:rsidR="001C44E2" w:rsidRDefault="001C44E2" w:rsidP="0083174B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szCs w:val="22"/>
          <w:lang w:eastAsia="ko-KR"/>
        </w:rPr>
        <w:t>I</w:t>
      </w:r>
      <w:r>
        <w:rPr>
          <w:rFonts w:ascii="Times New Roman" w:hAnsi="Times New Roman"/>
          <w:sz w:val="22"/>
          <w:szCs w:val="22"/>
          <w:lang w:eastAsia="ko-KR"/>
        </w:rPr>
        <w:t>n the recent meeting (RAN1#113), the following working assumptions and agreements were made [2]</w:t>
      </w:r>
      <w:r w:rsidR="001D4B3E">
        <w:rPr>
          <w:rFonts w:ascii="Times New Roman" w:hAnsi="Times New Roman"/>
          <w:sz w:val="22"/>
          <w:szCs w:val="22"/>
          <w:lang w:eastAsia="ko-KR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44E2" w14:paraId="298BFAF7" w14:textId="77777777" w:rsidTr="001C44E2">
        <w:tc>
          <w:tcPr>
            <w:tcW w:w="9631" w:type="dxa"/>
          </w:tcPr>
          <w:p w14:paraId="609BED6C" w14:textId="77777777" w:rsidR="001C44E2" w:rsidRPr="00497DB1" w:rsidRDefault="001C44E2" w:rsidP="001C44E2">
            <w:pPr>
              <w:rPr>
                <w:b/>
                <w:sz w:val="22"/>
                <w:szCs w:val="14"/>
                <w:lang w:eastAsia="zh-CN"/>
              </w:rPr>
            </w:pPr>
            <w:r w:rsidRPr="0004459C">
              <w:rPr>
                <w:b/>
                <w:sz w:val="22"/>
                <w:szCs w:val="14"/>
                <w:highlight w:val="darkYellow"/>
                <w:lang w:eastAsia="zh-CN"/>
              </w:rPr>
              <w:t>Working assumption</w:t>
            </w:r>
          </w:p>
          <w:p w14:paraId="0A8E24F4" w14:textId="77777777" w:rsidR="001C44E2" w:rsidRPr="00497DB1" w:rsidRDefault="001C44E2" w:rsidP="001C44E2">
            <w:pPr>
              <w:snapToGrid w:val="0"/>
              <w:jc w:val="both"/>
              <w:rPr>
                <w:sz w:val="22"/>
                <w:szCs w:val="18"/>
                <w:lang w:val="en-US"/>
              </w:rPr>
            </w:pPr>
            <w:r w:rsidRPr="00497DB1">
              <w:rPr>
                <w:sz w:val="22"/>
                <w:szCs w:val="18"/>
                <w:lang w:val="en-US"/>
              </w:rPr>
              <w:t xml:space="preserve">For NTN-specific PUSCH DMRS bundling, </w:t>
            </w:r>
            <w:r>
              <w:rPr>
                <w:sz w:val="22"/>
                <w:szCs w:val="18"/>
                <w:lang w:val="en-US"/>
              </w:rPr>
              <w:t xml:space="preserve">reuse </w:t>
            </w:r>
            <w:r w:rsidRPr="00497DB1">
              <w:rPr>
                <w:sz w:val="22"/>
                <w:szCs w:val="18"/>
                <w:lang w:val="en-US"/>
              </w:rPr>
              <w:t xml:space="preserve">clause 6.1.7 in TS38.214 for </w:t>
            </w:r>
            <w:r w:rsidRPr="00497DB1">
              <w:rPr>
                <w:rFonts w:eastAsia="DengXian"/>
                <w:sz w:val="22"/>
                <w:szCs w:val="16"/>
                <w:lang w:val="en-US"/>
              </w:rPr>
              <w:t>nominal TDW determination, except for aspects related to UE capabilities</w:t>
            </w:r>
            <w:r>
              <w:rPr>
                <w:rFonts w:eastAsia="DengXian"/>
                <w:sz w:val="22"/>
                <w:szCs w:val="16"/>
                <w:lang w:val="en-US"/>
              </w:rPr>
              <w:t xml:space="preserve"> and assistance information (if needed)</w:t>
            </w:r>
            <w:r w:rsidRPr="00497DB1">
              <w:rPr>
                <w:sz w:val="22"/>
                <w:szCs w:val="18"/>
                <w:lang w:val="en-US"/>
              </w:rPr>
              <w:t>.</w:t>
            </w:r>
          </w:p>
          <w:p w14:paraId="41E6B6C9" w14:textId="77777777" w:rsidR="001C44E2" w:rsidRPr="00497DB1" w:rsidRDefault="001C44E2" w:rsidP="001C44E2">
            <w:pPr>
              <w:numPr>
                <w:ilvl w:val="0"/>
                <w:numId w:val="31"/>
              </w:numPr>
              <w:snapToGrid w:val="0"/>
              <w:ind w:left="720"/>
              <w:rPr>
                <w:sz w:val="22"/>
                <w:szCs w:val="16"/>
                <w:lang w:val="en-US"/>
              </w:rPr>
            </w:pPr>
            <w:r w:rsidRPr="00497DB1">
              <w:rPr>
                <w:rFonts w:eastAsia="DengXian" w:hint="eastAsia"/>
                <w:sz w:val="22"/>
                <w:szCs w:val="16"/>
                <w:lang w:val="en-US"/>
              </w:rPr>
              <w:t>i</w:t>
            </w:r>
            <w:r w:rsidRPr="00497DB1">
              <w:rPr>
                <w:rFonts w:eastAsia="DengXian"/>
                <w:sz w:val="22"/>
                <w:szCs w:val="16"/>
                <w:lang w:val="en-US"/>
              </w:rPr>
              <w:t>.e., if PUSCH-TimeDomainWindowLength is configured, nominal TDW is determined by PUSCH-TimeDomainWindowLength</w:t>
            </w:r>
            <w:r w:rsidRPr="00497DB1">
              <w:rPr>
                <w:rFonts w:eastAsia="DengXian" w:hint="eastAsia"/>
                <w:sz w:val="22"/>
                <w:szCs w:val="16"/>
                <w:lang w:val="en-US"/>
              </w:rPr>
              <w:t>;</w:t>
            </w:r>
            <w:r w:rsidRPr="00497DB1">
              <w:rPr>
                <w:rFonts w:eastAsia="DengXian"/>
                <w:sz w:val="22"/>
                <w:szCs w:val="16"/>
                <w:lang w:val="en-US"/>
              </w:rPr>
              <w:t xml:space="preserve"> otherwise, nominal TDW is determined based on UE capability(ies) signaling.</w:t>
            </w:r>
          </w:p>
          <w:p w14:paraId="08BDCC68" w14:textId="77777777" w:rsidR="001C44E2" w:rsidRPr="00497DB1" w:rsidRDefault="001C44E2" w:rsidP="001C44E2">
            <w:pPr>
              <w:numPr>
                <w:ilvl w:val="0"/>
                <w:numId w:val="31"/>
              </w:numPr>
              <w:snapToGrid w:val="0"/>
              <w:ind w:left="720"/>
              <w:rPr>
                <w:sz w:val="22"/>
                <w:szCs w:val="16"/>
                <w:lang w:val="en-US"/>
              </w:rPr>
            </w:pPr>
            <w:r w:rsidRPr="00497DB1">
              <w:rPr>
                <w:rFonts w:eastAsia="DengXian" w:hint="eastAsia"/>
                <w:sz w:val="22"/>
                <w:szCs w:val="16"/>
                <w:lang w:val="en-US"/>
              </w:rPr>
              <w:t>F</w:t>
            </w:r>
            <w:r w:rsidRPr="00497DB1">
              <w:rPr>
                <w:rFonts w:eastAsia="DengXian"/>
                <w:sz w:val="22"/>
                <w:szCs w:val="16"/>
                <w:lang w:val="en-US"/>
              </w:rPr>
              <w:t>FS: which UE capability(ies) signaling is(are) used</w:t>
            </w:r>
          </w:p>
          <w:p w14:paraId="7A8DC1A9" w14:textId="77777777" w:rsidR="001C44E2" w:rsidRPr="00497DB1" w:rsidRDefault="001C44E2" w:rsidP="001C44E2">
            <w:pPr>
              <w:numPr>
                <w:ilvl w:val="0"/>
                <w:numId w:val="31"/>
              </w:numPr>
              <w:snapToGrid w:val="0"/>
              <w:ind w:left="720"/>
              <w:rPr>
                <w:sz w:val="22"/>
                <w:szCs w:val="16"/>
                <w:lang w:val="en-US"/>
              </w:rPr>
            </w:pPr>
            <w:r w:rsidRPr="00497DB1">
              <w:rPr>
                <w:rFonts w:eastAsia="DengXian" w:hint="eastAsia"/>
                <w:sz w:val="22"/>
                <w:szCs w:val="16"/>
                <w:lang w:val="en-US"/>
              </w:rPr>
              <w:t>F</w:t>
            </w:r>
            <w:r w:rsidRPr="00497DB1">
              <w:rPr>
                <w:rFonts w:eastAsia="DengXian"/>
                <w:sz w:val="22"/>
                <w:szCs w:val="16"/>
                <w:lang w:val="en-US"/>
              </w:rPr>
              <w:t>FS: whether/how to use UE assistance information, if supported</w:t>
            </w:r>
          </w:p>
          <w:p w14:paraId="02EB378F" w14:textId="77777777" w:rsidR="001C44E2" w:rsidRPr="005F42FD" w:rsidRDefault="001C44E2" w:rsidP="001C44E2">
            <w:pPr>
              <w:rPr>
                <w:lang w:val="en-US" w:eastAsia="x-none"/>
              </w:rPr>
            </w:pPr>
          </w:p>
          <w:p w14:paraId="6A05A809" w14:textId="77777777" w:rsidR="001C44E2" w:rsidRDefault="001C44E2" w:rsidP="001C44E2">
            <w:pPr>
              <w:rPr>
                <w:lang w:eastAsia="x-none"/>
              </w:rPr>
            </w:pPr>
          </w:p>
          <w:p w14:paraId="44AD7A18" w14:textId="77777777" w:rsidR="001C44E2" w:rsidRDefault="001C44E2" w:rsidP="001C44E2">
            <w:pPr>
              <w:rPr>
                <w:b/>
                <w:szCs w:val="14"/>
                <w:lang w:eastAsia="zh-CN"/>
              </w:rPr>
            </w:pPr>
            <w:r w:rsidRPr="00EB42BF">
              <w:rPr>
                <w:b/>
                <w:szCs w:val="14"/>
                <w:highlight w:val="green"/>
                <w:lang w:eastAsia="zh-CN"/>
              </w:rPr>
              <w:t>Agreement</w:t>
            </w:r>
          </w:p>
          <w:p w14:paraId="00E2CC7B" w14:textId="77777777" w:rsidR="001C44E2" w:rsidRPr="0004459C" w:rsidRDefault="001C44E2" w:rsidP="001C44E2">
            <w:pPr>
              <w:snapToGrid w:val="0"/>
              <w:jc w:val="both"/>
              <w:rPr>
                <w:rFonts w:eastAsia="DengXian"/>
                <w:szCs w:val="16"/>
                <w:lang w:val="en-US"/>
              </w:rPr>
            </w:pPr>
            <w:r>
              <w:rPr>
                <w:szCs w:val="18"/>
                <w:lang w:val="en-US"/>
              </w:rPr>
              <w:t>For NTN-specific PUSCH DMRS bundling, one or more of the following is down-selected for actual TDW determination.</w:t>
            </w:r>
          </w:p>
          <w:p w14:paraId="4F40C678" w14:textId="77777777" w:rsidR="001C44E2" w:rsidRDefault="001C44E2" w:rsidP="001C44E2">
            <w:pPr>
              <w:numPr>
                <w:ilvl w:val="0"/>
                <w:numId w:val="31"/>
              </w:numPr>
              <w:snapToGrid w:val="0"/>
              <w:ind w:left="720"/>
              <w:rPr>
                <w:szCs w:val="16"/>
                <w:lang w:val="en-US"/>
              </w:rPr>
            </w:pPr>
            <w:r w:rsidRPr="0004459C">
              <w:rPr>
                <w:rFonts w:eastAsia="DengXian"/>
                <w:szCs w:val="16"/>
                <w:lang w:val="en-US"/>
              </w:rPr>
              <w:t>Actual TDW is determined by the existing events and,</w:t>
            </w:r>
          </w:p>
          <w:p w14:paraId="125C3C6D" w14:textId="77777777" w:rsidR="001C44E2" w:rsidRPr="00FF1CE5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04459C">
              <w:rPr>
                <w:rFonts w:eastAsia="DengXian" w:hint="eastAsia"/>
                <w:szCs w:val="16"/>
                <w:lang w:val="en-US"/>
              </w:rPr>
              <w:t>A</w:t>
            </w:r>
            <w:r w:rsidRPr="0004459C">
              <w:rPr>
                <w:rFonts w:eastAsia="DengXian"/>
                <w:szCs w:val="16"/>
                <w:lang w:val="en-US"/>
              </w:rPr>
              <w:t>lt A: No additional event</w:t>
            </w:r>
          </w:p>
          <w:p w14:paraId="5B6625F2" w14:textId="77777777" w:rsidR="001C44E2" w:rsidRDefault="001C44E2" w:rsidP="001C44E2">
            <w:pPr>
              <w:numPr>
                <w:ilvl w:val="2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04459C">
              <w:rPr>
                <w:rFonts w:eastAsia="DengXian" w:hint="eastAsia"/>
                <w:szCs w:val="16"/>
                <w:lang w:val="en-US"/>
              </w:rPr>
              <w:t>i</w:t>
            </w:r>
            <w:r w:rsidRPr="0004459C">
              <w:rPr>
                <w:rFonts w:eastAsia="DengXian"/>
                <w:szCs w:val="16"/>
                <w:lang w:val="en-US"/>
              </w:rPr>
              <w:t>.e., no spec impact is assumed for actual TDW determination.</w:t>
            </w:r>
          </w:p>
          <w:p w14:paraId="719E7D6B" w14:textId="77777777" w:rsidR="001C44E2" w:rsidRPr="00FF1CE5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04459C">
              <w:rPr>
                <w:rFonts w:eastAsia="DengXian" w:hint="eastAsia"/>
                <w:szCs w:val="16"/>
                <w:lang w:val="en-US"/>
              </w:rPr>
              <w:t>A</w:t>
            </w:r>
            <w:r w:rsidRPr="0004459C">
              <w:rPr>
                <w:rFonts w:eastAsia="DengXian"/>
                <w:szCs w:val="16"/>
                <w:lang w:val="en-US"/>
              </w:rPr>
              <w:t>lt B: New event of TA pre-compensation timing dynamically indicated by gNB</w:t>
            </w:r>
          </w:p>
          <w:p w14:paraId="7EF0C17C" w14:textId="77777777" w:rsidR="001C44E2" w:rsidRPr="00FF1CE5" w:rsidRDefault="001C44E2" w:rsidP="001C44E2">
            <w:pPr>
              <w:numPr>
                <w:ilvl w:val="2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04459C">
              <w:rPr>
                <w:rFonts w:eastAsia="DengXian" w:hint="eastAsia"/>
                <w:szCs w:val="16"/>
                <w:lang w:val="en-US"/>
              </w:rPr>
              <w:t>i</w:t>
            </w:r>
            <w:r w:rsidRPr="0004459C">
              <w:rPr>
                <w:rFonts w:eastAsia="DengXian"/>
                <w:szCs w:val="16"/>
                <w:lang w:val="en-US"/>
              </w:rPr>
              <w:t>.e., TA pre-compensation timing can be dynamically indicated by gNB</w:t>
            </w:r>
          </w:p>
          <w:p w14:paraId="1B14D7D1" w14:textId="77777777" w:rsidR="001C44E2" w:rsidRPr="00FF1CE5" w:rsidRDefault="001C44E2" w:rsidP="001C44E2">
            <w:pPr>
              <w:numPr>
                <w:ilvl w:val="2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04459C">
              <w:rPr>
                <w:rFonts w:eastAsia="DengXian" w:hint="eastAsia"/>
                <w:szCs w:val="16"/>
                <w:lang w:val="en-US"/>
              </w:rPr>
              <w:t>N</w:t>
            </w:r>
            <w:r w:rsidRPr="0004459C">
              <w:rPr>
                <w:rFonts w:eastAsia="DengXian"/>
                <w:szCs w:val="16"/>
                <w:lang w:val="en-US"/>
              </w:rPr>
              <w:t>ote: UE can perform TA pre-compensation update at the indicated timing</w:t>
            </w:r>
          </w:p>
          <w:p w14:paraId="4C31E8AB" w14:textId="77777777" w:rsidR="001C44E2" w:rsidRPr="00FF1CE5" w:rsidRDefault="001C44E2" w:rsidP="001C44E2">
            <w:pPr>
              <w:numPr>
                <w:ilvl w:val="2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04459C">
              <w:rPr>
                <w:rFonts w:eastAsia="DengXian" w:hint="eastAsia"/>
                <w:szCs w:val="16"/>
                <w:lang w:val="en-US"/>
              </w:rPr>
              <w:t>F</w:t>
            </w:r>
            <w:r w:rsidRPr="0004459C">
              <w:rPr>
                <w:rFonts w:eastAsia="DengXian"/>
                <w:szCs w:val="16"/>
                <w:lang w:val="en-US"/>
              </w:rPr>
              <w:t>FS: detailed indication</w:t>
            </w:r>
          </w:p>
          <w:p w14:paraId="5F6897CB" w14:textId="77777777" w:rsidR="001C44E2" w:rsidRPr="00FF1CE5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04459C">
              <w:rPr>
                <w:rFonts w:eastAsia="DengXian" w:hint="eastAsia"/>
                <w:szCs w:val="16"/>
                <w:lang w:val="en-US"/>
              </w:rPr>
              <w:t>A</w:t>
            </w:r>
            <w:r w:rsidRPr="0004459C">
              <w:rPr>
                <w:rFonts w:eastAsia="DengXian"/>
                <w:szCs w:val="16"/>
                <w:lang w:val="en-US"/>
              </w:rPr>
              <w:t>lt C: as dynamically indicated by gNB</w:t>
            </w:r>
          </w:p>
          <w:p w14:paraId="17351D57" w14:textId="77777777" w:rsidR="001C44E2" w:rsidRPr="00FF1CE5" w:rsidRDefault="001C44E2" w:rsidP="001C44E2">
            <w:pPr>
              <w:numPr>
                <w:ilvl w:val="2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04459C">
              <w:rPr>
                <w:rFonts w:eastAsia="DengXian" w:hint="eastAsia"/>
                <w:szCs w:val="16"/>
                <w:lang w:val="en-US"/>
              </w:rPr>
              <w:t>i</w:t>
            </w:r>
            <w:r w:rsidRPr="0004459C">
              <w:rPr>
                <w:rFonts w:eastAsia="DengXian"/>
                <w:szCs w:val="16"/>
                <w:lang w:val="en-US"/>
              </w:rPr>
              <w:t>.e., actual TDW can be dynamically indicated by gNB</w:t>
            </w:r>
          </w:p>
          <w:p w14:paraId="3393DFFA" w14:textId="77777777" w:rsidR="001C44E2" w:rsidRPr="00FF1CE5" w:rsidRDefault="001C44E2" w:rsidP="001C44E2">
            <w:pPr>
              <w:numPr>
                <w:ilvl w:val="2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04459C">
              <w:rPr>
                <w:rFonts w:eastAsia="DengXian" w:hint="eastAsia"/>
                <w:szCs w:val="16"/>
                <w:lang w:val="en-US"/>
              </w:rPr>
              <w:t>F</w:t>
            </w:r>
            <w:r w:rsidRPr="0004459C">
              <w:rPr>
                <w:rFonts w:eastAsia="DengXian"/>
                <w:szCs w:val="16"/>
                <w:lang w:val="en-US"/>
              </w:rPr>
              <w:t>FS: detailed indication</w:t>
            </w:r>
          </w:p>
          <w:p w14:paraId="392BFB63" w14:textId="77777777" w:rsidR="001C44E2" w:rsidRPr="00FF1CE5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04459C">
              <w:rPr>
                <w:rFonts w:eastAsia="DengXian"/>
                <w:szCs w:val="16"/>
                <w:lang w:val="en-US"/>
              </w:rPr>
              <w:t>Alt D: New event based on epoch time</w:t>
            </w:r>
          </w:p>
          <w:p w14:paraId="3BC1CBCB" w14:textId="77777777" w:rsidR="001C44E2" w:rsidRPr="00FF1CE5" w:rsidRDefault="001C44E2" w:rsidP="001C44E2">
            <w:pPr>
              <w:numPr>
                <w:ilvl w:val="2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04459C">
              <w:rPr>
                <w:rFonts w:eastAsia="DengXian" w:hint="eastAsia"/>
                <w:szCs w:val="16"/>
                <w:lang w:val="en-US"/>
              </w:rPr>
              <w:t>F</w:t>
            </w:r>
            <w:r w:rsidRPr="0004459C">
              <w:rPr>
                <w:rFonts w:eastAsia="DengXian"/>
                <w:szCs w:val="16"/>
                <w:lang w:val="en-US"/>
              </w:rPr>
              <w:t>FS details</w:t>
            </w:r>
          </w:p>
          <w:p w14:paraId="27EA05F4" w14:textId="77777777" w:rsidR="001C44E2" w:rsidRPr="00FF1CE5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04459C">
              <w:rPr>
                <w:rFonts w:eastAsia="DengXian" w:hint="eastAsia"/>
                <w:szCs w:val="16"/>
                <w:lang w:val="en-US"/>
              </w:rPr>
              <w:t>A</w:t>
            </w:r>
            <w:r w:rsidRPr="0004459C">
              <w:rPr>
                <w:rFonts w:eastAsia="DengXian"/>
                <w:szCs w:val="16"/>
                <w:lang w:val="en-US"/>
              </w:rPr>
              <w:t>lt E: New event based on antenna switching</w:t>
            </w:r>
          </w:p>
          <w:p w14:paraId="5A39BBE3" w14:textId="77777777" w:rsidR="001C44E2" w:rsidRPr="0004459C" w:rsidRDefault="001C44E2" w:rsidP="001C44E2">
            <w:pPr>
              <w:rPr>
                <w:lang w:val="en-US" w:eastAsia="x-none"/>
              </w:rPr>
            </w:pPr>
          </w:p>
          <w:p w14:paraId="41C8F396" w14:textId="77777777" w:rsidR="001C44E2" w:rsidRDefault="001C44E2" w:rsidP="001C44E2">
            <w:pPr>
              <w:rPr>
                <w:lang w:eastAsia="x-none"/>
              </w:rPr>
            </w:pPr>
          </w:p>
          <w:p w14:paraId="50328780" w14:textId="77777777" w:rsidR="001C44E2" w:rsidRDefault="001C44E2" w:rsidP="001C44E2">
            <w:pPr>
              <w:rPr>
                <w:b/>
                <w:szCs w:val="14"/>
                <w:lang w:eastAsia="zh-CN"/>
              </w:rPr>
            </w:pPr>
            <w:r w:rsidRPr="002B48F3">
              <w:rPr>
                <w:b/>
                <w:szCs w:val="14"/>
                <w:highlight w:val="green"/>
                <w:lang w:eastAsia="zh-CN"/>
              </w:rPr>
              <w:t>Agreement</w:t>
            </w:r>
          </w:p>
          <w:p w14:paraId="395C6193" w14:textId="77777777" w:rsidR="001C44E2" w:rsidRPr="00EB42BF" w:rsidRDefault="001C44E2" w:rsidP="001C44E2">
            <w:pPr>
              <w:snapToGrid w:val="0"/>
              <w:jc w:val="both"/>
              <w:rPr>
                <w:rFonts w:eastAsia="DengXian"/>
                <w:szCs w:val="16"/>
                <w:lang w:val="en-US"/>
              </w:rPr>
            </w:pPr>
            <w:r>
              <w:rPr>
                <w:szCs w:val="18"/>
                <w:lang w:val="en-US"/>
              </w:rPr>
              <w:t>For NTN-specific PUSCH DMRS bu</w:t>
            </w:r>
            <w:r w:rsidRPr="00FF1CE5">
              <w:rPr>
                <w:szCs w:val="18"/>
                <w:lang w:val="en-US"/>
              </w:rPr>
              <w:t xml:space="preserve">ndling, </w:t>
            </w:r>
          </w:p>
          <w:p w14:paraId="160BBC1C" w14:textId="77777777" w:rsidR="001C44E2" w:rsidRPr="00FF1CE5" w:rsidRDefault="001C44E2" w:rsidP="001C44E2">
            <w:pPr>
              <w:numPr>
                <w:ilvl w:val="0"/>
                <w:numId w:val="31"/>
              </w:numPr>
              <w:snapToGrid w:val="0"/>
              <w:ind w:left="720"/>
              <w:rPr>
                <w:szCs w:val="16"/>
                <w:lang w:val="en-US"/>
              </w:rPr>
            </w:pPr>
            <w:r w:rsidRPr="00EB42BF">
              <w:rPr>
                <w:rFonts w:eastAsia="DengXian"/>
                <w:szCs w:val="16"/>
                <w:lang w:val="en-US"/>
              </w:rPr>
              <w:t xml:space="preserve">As </w:t>
            </w:r>
            <w:r w:rsidRPr="00EB42BF">
              <w:rPr>
                <w:rFonts w:eastAsia="DengXian" w:hint="eastAsia"/>
                <w:szCs w:val="16"/>
                <w:lang w:val="en-US"/>
              </w:rPr>
              <w:t>U</w:t>
            </w:r>
            <w:r w:rsidRPr="00EB42BF">
              <w:rPr>
                <w:rFonts w:eastAsia="DengXian"/>
                <w:szCs w:val="16"/>
                <w:lang w:val="en-US"/>
              </w:rPr>
              <w:t xml:space="preserve">E capability report (in addition to FG 44-2), </w:t>
            </w:r>
            <w:r w:rsidRPr="00FF1CE5">
              <w:rPr>
                <w:szCs w:val="18"/>
                <w:lang w:val="en-US"/>
              </w:rPr>
              <w:t>one or more of the following is down-selected.</w:t>
            </w:r>
          </w:p>
          <w:p w14:paraId="19CD29F5" w14:textId="77777777" w:rsidR="001C44E2" w:rsidRPr="00FF1CE5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 w:hint="eastAsia"/>
                <w:szCs w:val="16"/>
                <w:lang w:val="en-US"/>
              </w:rPr>
              <w:t>O</w:t>
            </w:r>
            <w:r w:rsidRPr="00EB42BF">
              <w:rPr>
                <w:rFonts w:eastAsia="DengXian"/>
                <w:szCs w:val="16"/>
                <w:lang w:val="en-US"/>
              </w:rPr>
              <w:t>ption 1a: No new capability except for FG44-2</w:t>
            </w:r>
          </w:p>
          <w:p w14:paraId="5FF04202" w14:textId="77777777" w:rsidR="001C44E2" w:rsidRPr="00BB7660" w:rsidRDefault="001C44E2" w:rsidP="001C44E2">
            <w:pPr>
              <w:numPr>
                <w:ilvl w:val="2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 w:hint="eastAsia"/>
                <w:szCs w:val="16"/>
                <w:lang w:val="en-US"/>
              </w:rPr>
              <w:t>N</w:t>
            </w:r>
            <w:r w:rsidRPr="00EB42BF">
              <w:rPr>
                <w:rFonts w:eastAsia="DengXian"/>
                <w:szCs w:val="16"/>
                <w:lang w:val="en-US"/>
              </w:rPr>
              <w:t>ote: FG 30-4 is reported [in consideration of pre-compensation to keep phase rotation due to timing drift within the phase difference limit and without taking TA pre-compensation update into account]</w:t>
            </w:r>
          </w:p>
          <w:p w14:paraId="231D859A" w14:textId="77777777" w:rsidR="001C44E2" w:rsidRPr="00FF1CE5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 w:hint="eastAsia"/>
                <w:szCs w:val="16"/>
                <w:lang w:val="en-US"/>
              </w:rPr>
              <w:t>O</w:t>
            </w:r>
            <w:r w:rsidRPr="00EB42BF">
              <w:rPr>
                <w:rFonts w:eastAsia="DengXian"/>
                <w:szCs w:val="16"/>
                <w:lang w:val="en-US"/>
              </w:rPr>
              <w:t>ption 1b: Max TDW size when pre-compensation to keep phase rotation due to timing drift within the phase difference limit is performed and without taking TA pre-compensation update into account</w:t>
            </w:r>
          </w:p>
          <w:p w14:paraId="01D90219" w14:textId="77777777" w:rsidR="001C44E2" w:rsidRPr="00FF1CE5" w:rsidRDefault="001C44E2" w:rsidP="001C44E2">
            <w:pPr>
              <w:numPr>
                <w:ilvl w:val="2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 w:hint="eastAsia"/>
                <w:szCs w:val="16"/>
                <w:lang w:val="en-US"/>
              </w:rPr>
              <w:t>N</w:t>
            </w:r>
            <w:r w:rsidRPr="00EB42BF">
              <w:rPr>
                <w:rFonts w:eastAsia="DengXian"/>
                <w:szCs w:val="16"/>
                <w:lang w:val="en-US"/>
              </w:rPr>
              <w:t>ote: FG 30-4 is not reported for NTN band</w:t>
            </w:r>
          </w:p>
          <w:p w14:paraId="710FA5E6" w14:textId="77777777" w:rsidR="001C44E2" w:rsidRPr="00FF1CE5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 w:hint="eastAsia"/>
                <w:szCs w:val="16"/>
                <w:lang w:val="en-US"/>
              </w:rPr>
              <w:t>O</w:t>
            </w:r>
            <w:r w:rsidRPr="00EB42BF">
              <w:rPr>
                <w:rFonts w:eastAsia="DengXian"/>
                <w:szCs w:val="16"/>
                <w:lang w:val="en-US"/>
              </w:rPr>
              <w:t>ption 1c: Support of antenna switching with DMRS bundling in NTN</w:t>
            </w:r>
          </w:p>
          <w:p w14:paraId="68B5913C" w14:textId="77777777" w:rsidR="001C44E2" w:rsidRPr="00FF1CE5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 w:hint="eastAsia"/>
                <w:szCs w:val="16"/>
                <w:lang w:val="en-US"/>
              </w:rPr>
              <w:lastRenderedPageBreak/>
              <w:t>O</w:t>
            </w:r>
            <w:r w:rsidRPr="00EB42BF">
              <w:rPr>
                <w:rFonts w:eastAsia="DengXian"/>
                <w:szCs w:val="16"/>
                <w:lang w:val="en-US"/>
              </w:rPr>
              <w:t>ption 1d: Max TDW size per NTN platform (e.g., LEO, MEO, GEO) with taking TA pre-compensation update into account</w:t>
            </w:r>
          </w:p>
          <w:p w14:paraId="7094E2FE" w14:textId="77777777" w:rsidR="001C44E2" w:rsidRPr="00FF1CE5" w:rsidRDefault="001C44E2" w:rsidP="001C44E2">
            <w:pPr>
              <w:numPr>
                <w:ilvl w:val="2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 w:hint="eastAsia"/>
                <w:szCs w:val="16"/>
                <w:lang w:val="en-US"/>
              </w:rPr>
              <w:t>F</w:t>
            </w:r>
            <w:r w:rsidRPr="00EB42BF">
              <w:rPr>
                <w:rFonts w:eastAsia="DengXian"/>
                <w:szCs w:val="16"/>
                <w:lang w:val="en-US"/>
              </w:rPr>
              <w:t>FS details</w:t>
            </w:r>
          </w:p>
          <w:p w14:paraId="3E77ADBF" w14:textId="77777777" w:rsidR="001C44E2" w:rsidRPr="00FF1CE5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/>
                <w:szCs w:val="16"/>
                <w:lang w:val="en-US"/>
              </w:rPr>
              <w:t>Option 1e: Max TDW size per elevation angle with taking TA pre-compensation update into account</w:t>
            </w:r>
          </w:p>
          <w:p w14:paraId="35E0667D" w14:textId="77777777" w:rsidR="001C44E2" w:rsidRPr="00FF1CE5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 w:hint="eastAsia"/>
                <w:szCs w:val="16"/>
                <w:lang w:val="en-US"/>
              </w:rPr>
              <w:t>O</w:t>
            </w:r>
            <w:r w:rsidRPr="00EB42BF">
              <w:rPr>
                <w:rFonts w:eastAsia="DengXian"/>
                <w:szCs w:val="16"/>
                <w:lang w:val="en-US"/>
              </w:rPr>
              <w:t>ption 1f: Whether to support actual TDW across pre-compensation segments</w:t>
            </w:r>
          </w:p>
          <w:p w14:paraId="23AB5AD4" w14:textId="77777777" w:rsidR="001C44E2" w:rsidRPr="00FF1CE5" w:rsidRDefault="001C44E2" w:rsidP="001C44E2">
            <w:pPr>
              <w:numPr>
                <w:ilvl w:val="2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/>
                <w:szCs w:val="16"/>
                <w:lang w:val="en-US"/>
              </w:rPr>
              <w:t>Segments defined in R17 IoT-NTN is baseline, FFS details</w:t>
            </w:r>
          </w:p>
          <w:p w14:paraId="2112A44D" w14:textId="77777777" w:rsidR="001C44E2" w:rsidRPr="00FF1CE5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 w:hint="eastAsia"/>
                <w:szCs w:val="16"/>
                <w:lang w:val="en-US"/>
              </w:rPr>
              <w:t>O</w:t>
            </w:r>
            <w:r w:rsidRPr="00EB42BF">
              <w:rPr>
                <w:rFonts w:eastAsia="DengXian"/>
                <w:szCs w:val="16"/>
                <w:lang w:val="en-US"/>
              </w:rPr>
              <w:t>ption 1g: Whether to support TA pre-compensation update within an actual TDW that does not violate the phase difference limit</w:t>
            </w:r>
          </w:p>
          <w:p w14:paraId="202C7184" w14:textId="77777777" w:rsidR="001C44E2" w:rsidRPr="00FF1CE5" w:rsidRDefault="001C44E2" w:rsidP="001C44E2">
            <w:pPr>
              <w:numPr>
                <w:ilvl w:val="0"/>
                <w:numId w:val="31"/>
              </w:numPr>
              <w:snapToGrid w:val="0"/>
              <w:ind w:left="720"/>
              <w:rPr>
                <w:szCs w:val="16"/>
                <w:lang w:val="en-US"/>
              </w:rPr>
            </w:pPr>
            <w:r w:rsidRPr="00EB42BF">
              <w:rPr>
                <w:rFonts w:eastAsia="DengXian"/>
                <w:szCs w:val="16"/>
                <w:lang w:val="en-US"/>
              </w:rPr>
              <w:t xml:space="preserve">As </w:t>
            </w:r>
            <w:r w:rsidRPr="00EB42BF">
              <w:rPr>
                <w:rFonts w:eastAsia="DengXian" w:hint="eastAsia"/>
                <w:szCs w:val="16"/>
                <w:lang w:val="en-US"/>
              </w:rPr>
              <w:t>U</w:t>
            </w:r>
            <w:r w:rsidRPr="00EB42BF">
              <w:rPr>
                <w:rFonts w:eastAsia="DengXian"/>
                <w:szCs w:val="16"/>
                <w:lang w:val="en-US"/>
              </w:rPr>
              <w:t xml:space="preserve">E assistance information (i.e., report by signaling other than UE capability report (FFS details)), </w:t>
            </w:r>
            <w:r w:rsidRPr="00FF1CE5">
              <w:rPr>
                <w:szCs w:val="18"/>
                <w:lang w:val="en-US"/>
              </w:rPr>
              <w:t>one or more of the following is down-selected.</w:t>
            </w:r>
          </w:p>
          <w:p w14:paraId="6716A905" w14:textId="77777777" w:rsidR="001C44E2" w:rsidRPr="00FF1CE5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 w:hint="eastAsia"/>
                <w:szCs w:val="16"/>
                <w:lang w:val="en-US"/>
              </w:rPr>
              <w:t>O</w:t>
            </w:r>
            <w:r w:rsidRPr="00EB42BF">
              <w:rPr>
                <w:rFonts w:eastAsia="DengXian"/>
                <w:szCs w:val="16"/>
                <w:lang w:val="en-US"/>
              </w:rPr>
              <w:t>ption 2a: No assistance information</w:t>
            </w:r>
          </w:p>
          <w:p w14:paraId="61AE7142" w14:textId="77777777" w:rsidR="001C44E2" w:rsidRPr="00FF1CE5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 w:hint="eastAsia"/>
                <w:szCs w:val="16"/>
                <w:lang w:val="en-US"/>
              </w:rPr>
              <w:t>O</w:t>
            </w:r>
            <w:r w:rsidRPr="00EB42BF">
              <w:rPr>
                <w:rFonts w:eastAsia="DengXian"/>
                <w:szCs w:val="16"/>
                <w:lang w:val="en-US"/>
              </w:rPr>
              <w:t>ption 2b: Max TDW size based on reporting timing</w:t>
            </w:r>
          </w:p>
          <w:p w14:paraId="6DFD16AF" w14:textId="77777777" w:rsidR="001C44E2" w:rsidRPr="00FF1CE5" w:rsidRDefault="001C44E2" w:rsidP="001C44E2">
            <w:pPr>
              <w:numPr>
                <w:ilvl w:val="2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 w:hint="eastAsia"/>
                <w:szCs w:val="16"/>
                <w:lang w:val="en-US"/>
              </w:rPr>
              <w:t>FFS</w:t>
            </w:r>
            <w:r w:rsidRPr="00EB42BF">
              <w:rPr>
                <w:rFonts w:eastAsia="DengXian"/>
                <w:szCs w:val="16"/>
                <w:lang w:val="en-US"/>
              </w:rPr>
              <w:t xml:space="preserve"> which timing is referred</w:t>
            </w:r>
          </w:p>
          <w:p w14:paraId="398F781C" w14:textId="77777777" w:rsidR="001C44E2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 w:hint="eastAsia"/>
                <w:szCs w:val="16"/>
                <w:lang w:val="en-US"/>
              </w:rPr>
              <w:t>O</w:t>
            </w:r>
            <w:r w:rsidRPr="00EB42BF">
              <w:rPr>
                <w:rFonts w:eastAsia="DengXian"/>
                <w:szCs w:val="16"/>
                <w:lang w:val="en-US"/>
              </w:rPr>
              <w:t>ption 2c: TA adjustment timing</w:t>
            </w:r>
          </w:p>
          <w:p w14:paraId="3861F32D" w14:textId="77777777" w:rsidR="001C44E2" w:rsidRPr="001C44E2" w:rsidRDefault="001C44E2" w:rsidP="001C44E2">
            <w:pPr>
              <w:numPr>
                <w:ilvl w:val="1"/>
                <w:numId w:val="31"/>
              </w:numPr>
              <w:snapToGrid w:val="0"/>
              <w:rPr>
                <w:szCs w:val="16"/>
                <w:lang w:val="en-US"/>
              </w:rPr>
            </w:pPr>
            <w:r w:rsidRPr="00EB42BF">
              <w:rPr>
                <w:rFonts w:eastAsia="DengXian" w:hint="eastAsia"/>
                <w:szCs w:val="16"/>
                <w:lang w:val="en-US"/>
              </w:rPr>
              <w:t>O</w:t>
            </w:r>
            <w:r w:rsidRPr="00EB42BF">
              <w:rPr>
                <w:rFonts w:eastAsia="DengXian"/>
                <w:szCs w:val="16"/>
                <w:lang w:val="en-US"/>
              </w:rPr>
              <w:t>ption 2d: Antenna switching interval</w:t>
            </w:r>
          </w:p>
        </w:tc>
      </w:tr>
    </w:tbl>
    <w:p w14:paraId="72A3D3EC" w14:textId="77777777" w:rsidR="0082052D" w:rsidRPr="004B0D77" w:rsidRDefault="0082052D" w:rsidP="0083174B">
      <w:pPr>
        <w:spacing w:before="240"/>
        <w:rPr>
          <w:sz w:val="22"/>
          <w:lang w:eastAsia="ko-KR"/>
        </w:rPr>
      </w:pPr>
    </w:p>
    <w:p w14:paraId="4AFE23A4" w14:textId="77777777" w:rsidR="0082052D" w:rsidRPr="00E85D3F" w:rsidRDefault="0082052D" w:rsidP="0083174B">
      <w:pPr>
        <w:pStyle w:val="1"/>
      </w:pPr>
      <w:r>
        <w:t>Discussion</w:t>
      </w:r>
    </w:p>
    <w:p w14:paraId="277B9461" w14:textId="77777777" w:rsidR="0082052D" w:rsidRPr="00E85D3F" w:rsidRDefault="0082052D" w:rsidP="0083174B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E85D3F">
        <w:rPr>
          <w:rFonts w:ascii="Times New Roman" w:hAnsi="Times New Roman"/>
          <w:b/>
          <w:sz w:val="22"/>
          <w:szCs w:val="22"/>
          <w:u w:val="single"/>
          <w:lang w:eastAsia="ko-KR"/>
        </w:rPr>
        <w:t>PUSCH DMRS bundling for NTN</w:t>
      </w:r>
    </w:p>
    <w:p w14:paraId="38FB81A3" w14:textId="275B7FE5" w:rsidR="00DD44BD" w:rsidRDefault="005F54C3" w:rsidP="0083174B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 w:rsidRPr="277F06E4">
        <w:rPr>
          <w:rFonts w:ascii="Times New Roman" w:hAnsi="Times New Roman"/>
          <w:sz w:val="22"/>
          <w:szCs w:val="22"/>
          <w:lang w:eastAsia="ko-KR"/>
        </w:rPr>
        <w:t>In RAN1#112bis-e, it has been agreed that only gNB-centric TDW determination rather than UE-centric TDW determination is supported for NR NTN DMRS bundling.</w:t>
      </w:r>
      <w:r w:rsidR="009D526B" w:rsidRPr="277F06E4">
        <w:rPr>
          <w:rFonts w:ascii="Times New Roman" w:hAnsi="Times New Roman"/>
          <w:sz w:val="22"/>
          <w:szCs w:val="22"/>
          <w:lang w:eastAsia="ko-KR"/>
        </w:rPr>
        <w:t xml:space="preserve"> Many companies have suggested several NTN-specific events that </w:t>
      </w:r>
      <w:r w:rsidR="00216C62" w:rsidRPr="277F06E4">
        <w:rPr>
          <w:rFonts w:ascii="Times New Roman" w:hAnsi="Times New Roman"/>
          <w:sz w:val="22"/>
          <w:szCs w:val="22"/>
          <w:lang w:eastAsia="ko-KR"/>
        </w:rPr>
        <w:t xml:space="preserve">would </w:t>
      </w:r>
      <w:r w:rsidR="009D526B" w:rsidRPr="277F06E4">
        <w:rPr>
          <w:rFonts w:ascii="Times New Roman" w:hAnsi="Times New Roman"/>
          <w:sz w:val="22"/>
          <w:szCs w:val="22"/>
          <w:lang w:eastAsia="ko-KR"/>
        </w:rPr>
        <w:t xml:space="preserve">determine actual TDW such as TA pre-compensation, antenna switching and so on. </w:t>
      </w:r>
      <w:r w:rsidR="00216C62" w:rsidRPr="277F06E4">
        <w:rPr>
          <w:rFonts w:ascii="Times New Roman" w:hAnsi="Times New Roman"/>
          <w:sz w:val="22"/>
          <w:szCs w:val="22"/>
          <w:lang w:eastAsia="ko-KR"/>
        </w:rPr>
        <w:t xml:space="preserve">Especially, </w:t>
      </w:r>
      <w:r w:rsidR="00F0092A" w:rsidRPr="277F06E4">
        <w:rPr>
          <w:rFonts w:ascii="Times New Roman" w:hAnsi="Times New Roman"/>
          <w:sz w:val="22"/>
          <w:szCs w:val="22"/>
          <w:lang w:eastAsia="ko-KR"/>
        </w:rPr>
        <w:t>TA pre-compensation should be considered one of NTN-specific events due to the high rate change of distance between UE and its serving satellite with low elevation angle.</w:t>
      </w:r>
      <w:r w:rsidR="00216C62" w:rsidRPr="277F06E4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F0092A" w:rsidRPr="277F06E4">
        <w:rPr>
          <w:rFonts w:ascii="Times New Roman" w:hAnsi="Times New Roman"/>
          <w:sz w:val="22"/>
          <w:szCs w:val="22"/>
          <w:lang w:eastAsia="ko-KR"/>
        </w:rPr>
        <w:t>Thus</w:t>
      </w:r>
      <w:r w:rsidR="6D632C17" w:rsidRPr="277F06E4">
        <w:rPr>
          <w:rFonts w:ascii="Times New Roman" w:hAnsi="Times New Roman"/>
          <w:sz w:val="22"/>
          <w:szCs w:val="22"/>
          <w:lang w:eastAsia="ko-KR"/>
        </w:rPr>
        <w:t>,</w:t>
      </w:r>
      <w:r w:rsidR="00F0092A" w:rsidRPr="277F06E4">
        <w:rPr>
          <w:rFonts w:ascii="Times New Roman" w:hAnsi="Times New Roman"/>
          <w:sz w:val="22"/>
          <w:szCs w:val="22"/>
          <w:lang w:eastAsia="ko-KR"/>
        </w:rPr>
        <w:t xml:space="preserve"> we propose to introduce </w:t>
      </w:r>
      <w:r w:rsidR="006E0124" w:rsidRPr="277F06E4">
        <w:rPr>
          <w:rFonts w:ascii="Times New Roman" w:hAnsi="Times New Roman"/>
          <w:sz w:val="22"/>
          <w:szCs w:val="22"/>
          <w:lang w:eastAsia="ko-KR"/>
        </w:rPr>
        <w:t>a new indication for TA pre-compensation timing and discuss what kind of information for the indication is appropriate.</w:t>
      </w:r>
    </w:p>
    <w:p w14:paraId="1B83C76D" w14:textId="77777777" w:rsidR="006E0124" w:rsidRDefault="006E0124" w:rsidP="006E0124">
      <w:pPr>
        <w:spacing w:before="240"/>
        <w:rPr>
          <w:rFonts w:ascii="Times New Roman" w:hAnsi="Times New Roman"/>
          <w:b/>
          <w:sz w:val="22"/>
          <w:szCs w:val="22"/>
        </w:rPr>
      </w:pPr>
      <w:r w:rsidRPr="00E85D3F">
        <w:rPr>
          <w:rFonts w:ascii="Times New Roman" w:hAnsi="Times New Roman"/>
          <w:b/>
          <w:sz w:val="22"/>
          <w:szCs w:val="22"/>
        </w:rPr>
        <w:t xml:space="preserve">Proposal </w:t>
      </w:r>
      <w:r w:rsidR="00EA232F">
        <w:rPr>
          <w:rFonts w:ascii="Times New Roman" w:hAnsi="Times New Roman"/>
          <w:b/>
          <w:sz w:val="22"/>
          <w:szCs w:val="22"/>
        </w:rPr>
        <w:t>#1</w:t>
      </w:r>
    </w:p>
    <w:p w14:paraId="75E553A9" w14:textId="77777777" w:rsidR="006E0124" w:rsidRDefault="008303D0" w:rsidP="006E0124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Introduce a new indication for TA pre-compensation timing that would be a new event to determine TDW.</w:t>
      </w:r>
    </w:p>
    <w:p w14:paraId="352383A8" w14:textId="77777777" w:rsidR="00EA232F" w:rsidRPr="00EA232F" w:rsidRDefault="00EA232F" w:rsidP="00EA232F">
      <w:pPr>
        <w:spacing w:before="240"/>
        <w:rPr>
          <w:rFonts w:ascii="Times New Roman" w:hAnsi="Times New Roman"/>
          <w:b/>
          <w:sz w:val="22"/>
          <w:szCs w:val="22"/>
        </w:rPr>
      </w:pPr>
      <w:r w:rsidRPr="00E85D3F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#2</w:t>
      </w:r>
    </w:p>
    <w:p w14:paraId="3D1B162E" w14:textId="77777777" w:rsidR="008303D0" w:rsidRPr="00293345" w:rsidRDefault="008303D0" w:rsidP="006E0124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Discuss what kind of information is appropriate to indicate TA pre-compensation timing.</w:t>
      </w:r>
    </w:p>
    <w:p w14:paraId="0D0B940D" w14:textId="77777777" w:rsidR="008303D0" w:rsidRDefault="008303D0" w:rsidP="0083174B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14:paraId="4A70C63D" w14:textId="77777777" w:rsidR="00A050F2" w:rsidRDefault="00A70C9E" w:rsidP="0083174B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 w:rsidRPr="277F06E4">
        <w:rPr>
          <w:rFonts w:ascii="Times New Roman" w:hAnsi="Times New Roman"/>
          <w:sz w:val="22"/>
          <w:szCs w:val="22"/>
          <w:lang w:eastAsia="ko-KR"/>
        </w:rPr>
        <w:t xml:space="preserve">Based </w:t>
      </w:r>
      <w:r w:rsidRPr="00181D8E">
        <w:rPr>
          <w:rFonts w:ascii="Times New Roman" w:hAnsi="Times New Roman"/>
          <w:sz w:val="22"/>
          <w:szCs w:val="22"/>
          <w:lang w:eastAsia="ko-KR"/>
        </w:rPr>
        <w:t>on release 17 DMRS</w:t>
      </w:r>
      <w:r w:rsidRPr="277F06E4">
        <w:rPr>
          <w:rFonts w:ascii="Times New Roman" w:hAnsi="Times New Roman"/>
          <w:sz w:val="22"/>
          <w:szCs w:val="22"/>
          <w:lang w:eastAsia="ko-KR"/>
        </w:rPr>
        <w:t xml:space="preserve"> bundling, i</w:t>
      </w:r>
      <w:r w:rsidR="008303D0" w:rsidRPr="277F06E4">
        <w:rPr>
          <w:rFonts w:ascii="Times New Roman" w:hAnsi="Times New Roman"/>
          <w:sz w:val="22"/>
          <w:szCs w:val="22"/>
          <w:lang w:eastAsia="ko-KR"/>
        </w:rPr>
        <w:t xml:space="preserve">f </w:t>
      </w:r>
      <w:r w:rsidRPr="277F06E4">
        <w:rPr>
          <w:rFonts w:ascii="Times New Roman" w:hAnsi="Times New Roman"/>
          <w:i/>
          <w:iCs/>
          <w:sz w:val="22"/>
          <w:szCs w:val="22"/>
          <w:lang w:eastAsia="ko-KR"/>
        </w:rPr>
        <w:t>pusch_WindowRestart</w:t>
      </w:r>
      <w:r w:rsidRPr="277F06E4">
        <w:rPr>
          <w:rFonts w:ascii="Times New Roman" w:hAnsi="Times New Roman"/>
          <w:sz w:val="22"/>
          <w:szCs w:val="22"/>
          <w:lang w:eastAsia="ko-KR"/>
        </w:rPr>
        <w:t xml:space="preserve"> is enabled, the number of actual TDW in a nominal TDW (= #aTDW) depends on the number of semi-static/dynamic events (=#events) in the nominal TDW, i.e. #aTDW = #event+1. If TA pre-compensation is agreed to be one of new events in release 18 and a new indication for the TA pre-compensation timing is introduced, </w:t>
      </w:r>
      <w:r w:rsidR="00A050F2" w:rsidRPr="277F06E4">
        <w:rPr>
          <w:rFonts w:ascii="Times New Roman" w:hAnsi="Times New Roman"/>
          <w:sz w:val="22"/>
          <w:szCs w:val="22"/>
          <w:lang w:eastAsia="ko-KR"/>
        </w:rPr>
        <w:t xml:space="preserve">the number of the new events by TA pre-compensation within a nominal TDW is a component that determines actual TDW and the number of actual TDWs in a nominal TDW. </w:t>
      </w:r>
    </w:p>
    <w:p w14:paraId="040CCFBE" w14:textId="17EFD12E" w:rsidR="003E0519" w:rsidRDefault="00A050F2" w:rsidP="0083174B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 w:rsidRPr="277F06E4">
        <w:rPr>
          <w:rFonts w:ascii="Times New Roman" w:hAnsi="Times New Roman"/>
          <w:sz w:val="22"/>
          <w:szCs w:val="22"/>
          <w:lang w:eastAsia="ko-KR"/>
        </w:rPr>
        <w:t>In common sense, we can expect that minimizing the number of actual TDWs</w:t>
      </w:r>
      <w:r w:rsidR="00C426FC" w:rsidRPr="277F06E4">
        <w:rPr>
          <w:rFonts w:ascii="Times New Roman" w:hAnsi="Times New Roman"/>
          <w:sz w:val="22"/>
          <w:szCs w:val="22"/>
          <w:lang w:eastAsia="ko-KR"/>
        </w:rPr>
        <w:t xml:space="preserve"> (or events including TA pre-compensation)</w:t>
      </w:r>
      <w:r w:rsidRPr="277F06E4">
        <w:rPr>
          <w:rFonts w:ascii="Times New Roman" w:hAnsi="Times New Roman"/>
          <w:sz w:val="22"/>
          <w:szCs w:val="22"/>
          <w:lang w:eastAsia="ko-KR"/>
        </w:rPr>
        <w:t xml:space="preserve"> in a nominal TDW would show a</w:t>
      </w:r>
      <w:r w:rsidR="00C426FC" w:rsidRPr="277F06E4">
        <w:rPr>
          <w:rFonts w:ascii="Times New Roman" w:hAnsi="Times New Roman"/>
          <w:sz w:val="22"/>
          <w:szCs w:val="22"/>
          <w:lang w:eastAsia="ko-KR"/>
        </w:rPr>
        <w:t xml:space="preserve"> high joint channel estimation gain. </w:t>
      </w:r>
      <w:r w:rsidR="008E6DE3" w:rsidRPr="277F06E4">
        <w:rPr>
          <w:rFonts w:ascii="Times New Roman" w:hAnsi="Times New Roman"/>
          <w:sz w:val="22"/>
          <w:szCs w:val="22"/>
          <w:lang w:eastAsia="ko-KR"/>
        </w:rPr>
        <w:t>Thus,</w:t>
      </w:r>
      <w:r w:rsidR="00C426FC" w:rsidRPr="277F06E4">
        <w:rPr>
          <w:rFonts w:ascii="Times New Roman" w:hAnsi="Times New Roman"/>
          <w:sz w:val="22"/>
          <w:szCs w:val="22"/>
          <w:lang w:eastAsia="ko-KR"/>
        </w:rPr>
        <w:t xml:space="preserve"> we propose </w:t>
      </w:r>
      <w:r w:rsidR="003E0519" w:rsidRPr="277F06E4">
        <w:rPr>
          <w:rFonts w:ascii="Times New Roman" w:hAnsi="Times New Roman"/>
          <w:sz w:val="22"/>
          <w:szCs w:val="22"/>
          <w:lang w:eastAsia="ko-KR"/>
        </w:rPr>
        <w:t>UE to perform TA pre-compensation whenever every event (or a part of events) occur(s). Figure 1 shows a</w:t>
      </w:r>
      <w:r w:rsidR="006F66DF" w:rsidRPr="277F06E4">
        <w:rPr>
          <w:rFonts w:ascii="Times New Roman" w:hAnsi="Times New Roman"/>
          <w:sz w:val="22"/>
          <w:szCs w:val="22"/>
          <w:lang w:eastAsia="ko-KR"/>
        </w:rPr>
        <w:t>n</w:t>
      </w:r>
      <w:r w:rsidR="003E0519" w:rsidRPr="277F06E4">
        <w:rPr>
          <w:rFonts w:ascii="Times New Roman" w:hAnsi="Times New Roman"/>
          <w:sz w:val="22"/>
          <w:szCs w:val="22"/>
          <w:lang w:eastAsia="ko-KR"/>
        </w:rPr>
        <w:t xml:space="preserve"> e</w:t>
      </w:r>
      <w:r w:rsidR="008E6DE3" w:rsidRPr="277F06E4">
        <w:rPr>
          <w:rFonts w:ascii="Times New Roman" w:hAnsi="Times New Roman"/>
          <w:sz w:val="22"/>
          <w:szCs w:val="22"/>
          <w:lang w:eastAsia="ko-KR"/>
        </w:rPr>
        <w:t>xample, where the maximum tolerable duration without TA pre-compensation is 13 slots and the nominal TDW is 20 slots. If another event occurs after 10</w:t>
      </w:r>
      <w:r w:rsidR="008E6DE3" w:rsidRPr="277F06E4">
        <w:rPr>
          <w:rFonts w:ascii="Times New Roman" w:hAnsi="Times New Roman"/>
          <w:sz w:val="22"/>
          <w:szCs w:val="22"/>
          <w:vertAlign w:val="superscript"/>
          <w:lang w:eastAsia="ko-KR"/>
        </w:rPr>
        <w:t>th</w:t>
      </w:r>
      <w:r w:rsidR="008E6DE3" w:rsidRPr="277F06E4">
        <w:rPr>
          <w:rFonts w:ascii="Times New Roman" w:hAnsi="Times New Roman"/>
          <w:sz w:val="22"/>
          <w:szCs w:val="22"/>
          <w:lang w:eastAsia="ko-KR"/>
        </w:rPr>
        <w:t xml:space="preserve"> slot, we can expect that </w:t>
      </w:r>
      <w:r w:rsidR="004F11C1" w:rsidRPr="277F06E4">
        <w:rPr>
          <w:rFonts w:ascii="Times New Roman" w:hAnsi="Times New Roman"/>
          <w:sz w:val="22"/>
          <w:szCs w:val="22"/>
          <w:lang w:eastAsia="ko-KR"/>
        </w:rPr>
        <w:t>gNB indicate that UE performs TA pre-</w:t>
      </w:r>
      <w:r w:rsidR="004F11C1" w:rsidRPr="00181D8E">
        <w:rPr>
          <w:rFonts w:ascii="Times New Roman" w:hAnsi="Times New Roman"/>
          <w:sz w:val="22"/>
          <w:szCs w:val="22"/>
          <w:lang w:eastAsia="ko-KR"/>
        </w:rPr>
        <w:t>compensation after 13</w:t>
      </w:r>
      <w:r w:rsidR="004F11C1" w:rsidRPr="00181D8E">
        <w:rPr>
          <w:rFonts w:ascii="Times New Roman" w:hAnsi="Times New Roman"/>
          <w:sz w:val="22"/>
          <w:szCs w:val="22"/>
          <w:vertAlign w:val="superscript"/>
          <w:lang w:eastAsia="ko-KR"/>
        </w:rPr>
        <w:t>th</w:t>
      </w:r>
      <w:r w:rsidR="004F11C1" w:rsidRPr="00181D8E">
        <w:rPr>
          <w:rFonts w:ascii="Times New Roman" w:hAnsi="Times New Roman"/>
          <w:sz w:val="22"/>
          <w:szCs w:val="22"/>
          <w:lang w:eastAsia="ko-KR"/>
        </w:rPr>
        <w:t xml:space="preserve"> slot, and </w:t>
      </w:r>
      <w:r w:rsidR="008E6DE3" w:rsidRPr="00181D8E">
        <w:rPr>
          <w:rFonts w:ascii="Times New Roman" w:hAnsi="Times New Roman"/>
          <w:sz w:val="22"/>
          <w:szCs w:val="22"/>
          <w:lang w:eastAsia="ko-KR"/>
        </w:rPr>
        <w:t xml:space="preserve">three actual TDWs are generated by the event and TA pre-compensation as shown in Case 1. If </w:t>
      </w:r>
      <w:r w:rsidR="004F11C1" w:rsidRPr="00181D8E">
        <w:rPr>
          <w:rFonts w:ascii="Times New Roman" w:hAnsi="Times New Roman"/>
          <w:sz w:val="22"/>
          <w:szCs w:val="22"/>
          <w:lang w:eastAsia="ko-KR"/>
        </w:rPr>
        <w:t xml:space="preserve">we assume that </w:t>
      </w:r>
      <w:r w:rsidR="008E6DE3" w:rsidRPr="00181D8E">
        <w:rPr>
          <w:rFonts w:ascii="Times New Roman" w:hAnsi="Times New Roman"/>
          <w:sz w:val="22"/>
          <w:szCs w:val="22"/>
          <w:lang w:eastAsia="ko-KR"/>
        </w:rPr>
        <w:t>UE perform</w:t>
      </w:r>
      <w:r w:rsidR="004F11C1" w:rsidRPr="00181D8E">
        <w:rPr>
          <w:rFonts w:ascii="Times New Roman" w:hAnsi="Times New Roman"/>
          <w:sz w:val="22"/>
          <w:szCs w:val="22"/>
          <w:lang w:eastAsia="ko-KR"/>
        </w:rPr>
        <w:t>s</w:t>
      </w:r>
      <w:r w:rsidR="008E6DE3" w:rsidRPr="00181D8E">
        <w:rPr>
          <w:rFonts w:ascii="Times New Roman" w:hAnsi="Times New Roman"/>
          <w:sz w:val="22"/>
          <w:szCs w:val="22"/>
          <w:lang w:eastAsia="ko-KR"/>
        </w:rPr>
        <w:t xml:space="preserve"> TA pre-compensation at the timing of the event (Rel-17 event in Figure1</w:t>
      </w:r>
      <w:r w:rsidR="008E6DE3" w:rsidRPr="277F06E4">
        <w:rPr>
          <w:rFonts w:ascii="Times New Roman" w:hAnsi="Times New Roman"/>
          <w:sz w:val="22"/>
          <w:szCs w:val="22"/>
          <w:lang w:eastAsia="ko-KR"/>
        </w:rPr>
        <w:t xml:space="preserve">) regardless of </w:t>
      </w:r>
      <w:r w:rsidR="004F11C1" w:rsidRPr="277F06E4">
        <w:rPr>
          <w:rFonts w:ascii="Times New Roman" w:hAnsi="Times New Roman"/>
          <w:sz w:val="22"/>
          <w:szCs w:val="22"/>
          <w:lang w:eastAsia="ko-KR"/>
        </w:rPr>
        <w:t>TA pre-compensation indication by gNB</w:t>
      </w:r>
      <w:r w:rsidR="008E6DE3" w:rsidRPr="277F06E4">
        <w:rPr>
          <w:rFonts w:ascii="Times New Roman" w:hAnsi="Times New Roman"/>
          <w:sz w:val="22"/>
          <w:szCs w:val="22"/>
          <w:lang w:eastAsia="ko-KR"/>
        </w:rPr>
        <w:t>,</w:t>
      </w:r>
      <w:r w:rsidR="00EA232F" w:rsidRPr="277F06E4">
        <w:rPr>
          <w:rFonts w:ascii="Times New Roman" w:hAnsi="Times New Roman"/>
          <w:sz w:val="22"/>
          <w:szCs w:val="22"/>
          <w:lang w:eastAsia="ko-KR"/>
        </w:rPr>
        <w:t xml:space="preserve"> UE does not have to perform another TA pre-compensation within the nominal TDW shown as Case2 and we can reduce the number of actual TDWs in the nominal TDW. </w:t>
      </w:r>
    </w:p>
    <w:p w14:paraId="0E27B00A" w14:textId="77777777" w:rsidR="006F66DF" w:rsidRDefault="006F66DF" w:rsidP="006F66DF">
      <w:pPr>
        <w:keepNext/>
        <w:spacing w:before="240"/>
        <w:jc w:val="center"/>
      </w:pPr>
      <w:r>
        <w:rPr>
          <w:noProof/>
          <w:lang w:val="en-US" w:eastAsia="ko-KR"/>
        </w:rPr>
        <w:drawing>
          <wp:inline distT="0" distB="0" distL="0" distR="0" wp14:anchorId="4863CDB5" wp14:editId="0ECC4DAA">
            <wp:extent cx="3560060" cy="1897811"/>
            <wp:effectExtent l="0" t="0" r="2540" b="762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0060" cy="1897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BF527" w14:textId="249FEBBE" w:rsidR="006F66DF" w:rsidRDefault="006F66DF" w:rsidP="006F66DF">
      <w:pPr>
        <w:pStyle w:val="af"/>
        <w:jc w:val="center"/>
        <w:rPr>
          <w:sz w:val="22"/>
          <w:szCs w:val="22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4E5E55">
        <w:t xml:space="preserve">. An example to show that the number of actual TDW can be reduced by controlling TA pre-compensation timing </w:t>
      </w:r>
    </w:p>
    <w:p w14:paraId="0DABCE22" w14:textId="77777777" w:rsidR="00EA232F" w:rsidRDefault="00EA232F" w:rsidP="00EA232F">
      <w:pPr>
        <w:spacing w:before="240"/>
        <w:rPr>
          <w:rFonts w:ascii="Times New Roman" w:hAnsi="Times New Roman"/>
          <w:b/>
          <w:sz w:val="22"/>
          <w:szCs w:val="22"/>
        </w:rPr>
      </w:pPr>
      <w:r w:rsidRPr="00E85D3F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#3</w:t>
      </w:r>
    </w:p>
    <w:p w14:paraId="5CF7C938" w14:textId="5DA3882D" w:rsidR="00EA232F" w:rsidRDefault="004E5E55" w:rsidP="00EA232F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Discuss whether </w:t>
      </w:r>
      <w:r w:rsidR="00EA232F">
        <w:rPr>
          <w:rFonts w:ascii="Times New Roman" w:hAnsi="Times New Roman"/>
          <w:b/>
          <w:sz w:val="22"/>
          <w:szCs w:val="22"/>
        </w:rPr>
        <w:t xml:space="preserve">UE performs TA pre-compensation </w:t>
      </w:r>
      <w:r w:rsidR="004F11C1">
        <w:rPr>
          <w:rFonts w:ascii="Times New Roman" w:hAnsi="Times New Roman"/>
          <w:b/>
          <w:sz w:val="22"/>
          <w:szCs w:val="22"/>
        </w:rPr>
        <w:t>not only at the events that gNB indicates for TA pre-compensation but also at the other</w:t>
      </w:r>
      <w:r w:rsidR="001B376C">
        <w:rPr>
          <w:rFonts w:ascii="Times New Roman" w:hAnsi="Times New Roman"/>
          <w:b/>
          <w:sz w:val="22"/>
          <w:szCs w:val="22"/>
        </w:rPr>
        <w:t xml:space="preserve"> events</w:t>
      </w:r>
      <w:r w:rsidR="004F11C1">
        <w:rPr>
          <w:rFonts w:ascii="Times New Roman" w:hAnsi="Times New Roman"/>
          <w:b/>
          <w:sz w:val="22"/>
          <w:szCs w:val="22"/>
        </w:rPr>
        <w:t>.</w:t>
      </w:r>
    </w:p>
    <w:p w14:paraId="60061E4C" w14:textId="77777777" w:rsidR="00F53564" w:rsidRPr="00EA232F" w:rsidRDefault="00F53564" w:rsidP="0083174B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14:paraId="2B2A7A39" w14:textId="77777777" w:rsidR="0082052D" w:rsidRDefault="0082052D" w:rsidP="0083174B">
      <w:pPr>
        <w:pStyle w:val="1"/>
      </w:pPr>
      <w:r>
        <w:t>Conclusion</w:t>
      </w:r>
    </w:p>
    <w:p w14:paraId="1C283069" w14:textId="77777777" w:rsidR="0082052D" w:rsidRDefault="0082052D" w:rsidP="0083174B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14:paraId="26D9F29B" w14:textId="77777777" w:rsidR="001B376C" w:rsidRDefault="001B376C" w:rsidP="001B376C">
      <w:pPr>
        <w:spacing w:before="240"/>
        <w:rPr>
          <w:rFonts w:ascii="Times New Roman" w:hAnsi="Times New Roman"/>
          <w:b/>
          <w:sz w:val="22"/>
          <w:szCs w:val="22"/>
        </w:rPr>
      </w:pPr>
      <w:r w:rsidRPr="00E85D3F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#1</w:t>
      </w:r>
    </w:p>
    <w:p w14:paraId="19D0A9C7" w14:textId="77777777" w:rsidR="001B376C" w:rsidRDefault="001B376C" w:rsidP="001B376C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Introduce a new indication for TA pre-compensation timing that would be a new event to determine TDW.</w:t>
      </w:r>
    </w:p>
    <w:p w14:paraId="47150D22" w14:textId="77777777" w:rsidR="001B376C" w:rsidRPr="00EA232F" w:rsidRDefault="001B376C" w:rsidP="001B376C">
      <w:pPr>
        <w:spacing w:before="240"/>
        <w:rPr>
          <w:rFonts w:ascii="Times New Roman" w:hAnsi="Times New Roman"/>
          <w:b/>
          <w:sz w:val="22"/>
          <w:szCs w:val="22"/>
        </w:rPr>
      </w:pPr>
      <w:r w:rsidRPr="00E85D3F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#2</w:t>
      </w:r>
    </w:p>
    <w:p w14:paraId="7FD547AC" w14:textId="77777777" w:rsidR="001B376C" w:rsidRPr="00293345" w:rsidRDefault="001B376C" w:rsidP="001B376C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Discuss what kind of information is appropriate to indicate TA pre-compensation timing.</w:t>
      </w:r>
    </w:p>
    <w:p w14:paraId="2E5FEFA0" w14:textId="77777777" w:rsidR="001B376C" w:rsidRDefault="001B376C" w:rsidP="001B376C">
      <w:pPr>
        <w:spacing w:before="240"/>
        <w:rPr>
          <w:rFonts w:ascii="Times New Roman" w:hAnsi="Times New Roman"/>
          <w:b/>
          <w:sz w:val="22"/>
          <w:szCs w:val="22"/>
        </w:rPr>
      </w:pPr>
      <w:r w:rsidRPr="00E85D3F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#3</w:t>
      </w:r>
    </w:p>
    <w:p w14:paraId="2A121EF2" w14:textId="696E8D92" w:rsidR="001B376C" w:rsidRDefault="004E5E55" w:rsidP="277F06E4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  <w:lang w:eastAsia="ko-KR"/>
        </w:rPr>
        <w:t>D</w:t>
      </w:r>
      <w:r w:rsidR="00181D8E">
        <w:rPr>
          <w:rFonts w:ascii="Times New Roman" w:hAnsi="Times New Roman"/>
          <w:b/>
          <w:bCs/>
          <w:sz w:val="22"/>
          <w:szCs w:val="22"/>
          <w:lang w:eastAsia="ko-KR"/>
        </w:rPr>
        <w:t xml:space="preserve">iscuss whether </w:t>
      </w:r>
      <w:r w:rsidR="001B376C" w:rsidRPr="277F06E4">
        <w:rPr>
          <w:rFonts w:ascii="Times New Roman" w:hAnsi="Times New Roman"/>
          <w:b/>
          <w:bCs/>
          <w:sz w:val="22"/>
          <w:szCs w:val="22"/>
        </w:rPr>
        <w:t>UE performs TA pre-compensation not only at the events that gNB indicates for TA pre-compensation but also at the other events.</w:t>
      </w:r>
      <w:bookmarkStart w:id="2" w:name="_GoBack"/>
      <w:bookmarkEnd w:id="2"/>
    </w:p>
    <w:p w14:paraId="44EAFD9C" w14:textId="77777777" w:rsidR="001B376C" w:rsidRPr="001B376C" w:rsidRDefault="001B376C" w:rsidP="0083174B">
      <w:pPr>
        <w:spacing w:before="240"/>
        <w:rPr>
          <w:rFonts w:ascii="Times New Roman" w:hAnsi="Times New Roman"/>
          <w:iCs/>
          <w:sz w:val="22"/>
          <w:lang w:eastAsia="ko-KR"/>
        </w:rPr>
      </w:pPr>
    </w:p>
    <w:p w14:paraId="6F3B69C3" w14:textId="77777777" w:rsidR="0082052D" w:rsidRDefault="0082052D" w:rsidP="0082052D">
      <w:pPr>
        <w:pStyle w:val="1"/>
      </w:pPr>
      <w:r>
        <w:t>Reference</w:t>
      </w:r>
    </w:p>
    <w:p w14:paraId="68618181" w14:textId="77777777" w:rsidR="0083174B" w:rsidRDefault="0083174B" w:rsidP="0082052D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 w:hint="eastAsia"/>
          <w:sz w:val="22"/>
          <w:lang w:eastAsia="ko-KR"/>
        </w:rPr>
        <w:t>[</w:t>
      </w:r>
      <w:r>
        <w:rPr>
          <w:rFonts w:ascii="Times New Roman" w:hAnsi="Times New Roman"/>
          <w:sz w:val="22"/>
          <w:lang w:eastAsia="ko-KR"/>
        </w:rPr>
        <w:t xml:space="preserve">1] </w:t>
      </w:r>
      <w:r w:rsidRPr="009F5294">
        <w:rPr>
          <w:rFonts w:ascii="Times New Roman" w:hAnsi="Times New Roman"/>
          <w:sz w:val="22"/>
          <w:lang w:eastAsia="x-none"/>
        </w:rPr>
        <w:t>RP-222654</w:t>
      </w:r>
      <w:r>
        <w:rPr>
          <w:rFonts w:ascii="Times New Roman" w:hAnsi="Times New Roman"/>
          <w:sz w:val="22"/>
          <w:lang w:eastAsia="x-none"/>
        </w:rPr>
        <w:t>, “</w:t>
      </w:r>
      <w:r w:rsidRPr="009F5294">
        <w:rPr>
          <w:rFonts w:ascii="Times New Roman" w:hAnsi="Times New Roman"/>
          <w:sz w:val="22"/>
          <w:lang w:eastAsia="x-none"/>
        </w:rPr>
        <w:t>Revised WID: NR NTN (Non-Terrestrial Networks) enhancements</w:t>
      </w:r>
      <w:r>
        <w:rPr>
          <w:rFonts w:ascii="Times New Roman" w:hAnsi="Times New Roman"/>
          <w:sz w:val="22"/>
          <w:lang w:eastAsia="x-none"/>
        </w:rPr>
        <w:t>,” Thales</w:t>
      </w:r>
    </w:p>
    <w:p w14:paraId="788A0E4A" w14:textId="77777777" w:rsidR="00A972AE" w:rsidRPr="00282CF9" w:rsidRDefault="001C44E2" w:rsidP="001D4B3E">
      <w:pPr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/>
          <w:sz w:val="22"/>
          <w:lang w:eastAsia="x-none"/>
        </w:rPr>
        <w:t xml:space="preserve">[2] </w:t>
      </w:r>
      <w:r>
        <w:rPr>
          <w:rFonts w:ascii="Times New Roman" w:hAnsi="Times New Roman"/>
          <w:sz w:val="22"/>
          <w:lang w:eastAsia="ko-KR"/>
        </w:rPr>
        <w:t>“</w:t>
      </w:r>
      <w:r>
        <w:rPr>
          <w:rFonts w:ascii="Times New Roman" w:hAnsi="Times New Roman" w:hint="eastAsia"/>
          <w:sz w:val="22"/>
          <w:lang w:eastAsia="ko-KR"/>
        </w:rPr>
        <w:t>C</w:t>
      </w:r>
      <w:r>
        <w:rPr>
          <w:rFonts w:ascii="Times New Roman" w:hAnsi="Times New Roman"/>
          <w:sz w:val="22"/>
          <w:lang w:eastAsia="ko-KR"/>
        </w:rPr>
        <w:t>hair’s Notes RAN1#113,”</w:t>
      </w:r>
    </w:p>
    <w:sectPr w:rsidR="00A972AE" w:rsidRPr="00282CF9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CCF10E6" w16cex:dateUtc="2023-08-11T00:08:48.783Z"/>
  <w16cex:commentExtensible w16cex:durableId="2613221D" w16cex:dateUtc="2023-08-11T00:10:59.44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603FA77" w16cid:durableId="1CCF10E6"/>
  <w16cid:commentId w16cid:paraId="33F9D0EC" w16cid:durableId="2613221D"/>
</w16cid:commentsIds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4D5A5" w14:textId="77777777" w:rsidR="00026999" w:rsidRDefault="00026999">
      <w:r>
        <w:separator/>
      </w:r>
    </w:p>
  </w:endnote>
  <w:endnote w:type="continuationSeparator" w:id="0">
    <w:p w14:paraId="3DEEC669" w14:textId="77777777" w:rsidR="00026999" w:rsidRDefault="00026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6B9AB" w14:textId="77777777" w:rsidR="00026999" w:rsidRDefault="00026999">
      <w:r>
        <w:separator/>
      </w:r>
    </w:p>
  </w:footnote>
  <w:footnote w:type="continuationSeparator" w:id="0">
    <w:p w14:paraId="45FB0818" w14:textId="77777777" w:rsidR="00026999" w:rsidRDefault="00026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20F2EF3"/>
    <w:multiLevelType w:val="multilevel"/>
    <w:tmpl w:val="FC32D5A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1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1432731D"/>
    <w:multiLevelType w:val="hybridMultilevel"/>
    <w:tmpl w:val="F0AEC8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8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4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6" w15:restartNumberingAfterBreak="0">
    <w:nsid w:val="6EB972C2"/>
    <w:multiLevelType w:val="hybridMultilevel"/>
    <w:tmpl w:val="46105AF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9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32"/>
  </w:num>
  <w:num w:numId="4">
    <w:abstractNumId w:val="31"/>
  </w:num>
  <w:num w:numId="5">
    <w:abstractNumId w:val="13"/>
  </w:num>
  <w:num w:numId="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27"/>
  </w:num>
  <w:num w:numId="8">
    <w:abstractNumId w:val="19"/>
  </w:num>
  <w:num w:numId="9">
    <w:abstractNumId w:val="4"/>
  </w:num>
  <w:num w:numId="10">
    <w:abstractNumId w:val="28"/>
  </w:num>
  <w:num w:numId="11">
    <w:abstractNumId w:val="22"/>
  </w:num>
  <w:num w:numId="12">
    <w:abstractNumId w:val="20"/>
  </w:num>
  <w:num w:numId="13">
    <w:abstractNumId w:val="15"/>
  </w:num>
  <w:num w:numId="14">
    <w:abstractNumId w:val="25"/>
  </w:num>
  <w:num w:numId="15">
    <w:abstractNumId w:val="17"/>
  </w:num>
  <w:num w:numId="16">
    <w:abstractNumId w:val="23"/>
  </w:num>
  <w:num w:numId="17">
    <w:abstractNumId w:val="8"/>
  </w:num>
  <w:num w:numId="18">
    <w:abstractNumId w:val="9"/>
  </w:num>
  <w:num w:numId="19">
    <w:abstractNumId w:val="18"/>
  </w:num>
  <w:num w:numId="20">
    <w:abstractNumId w:val="11"/>
  </w:num>
  <w:num w:numId="21">
    <w:abstractNumId w:val="16"/>
  </w:num>
  <w:num w:numId="22">
    <w:abstractNumId w:val="6"/>
  </w:num>
  <w:num w:numId="23">
    <w:abstractNumId w:val="12"/>
  </w:num>
  <w:num w:numId="24">
    <w:abstractNumId w:val="29"/>
  </w:num>
  <w:num w:numId="25">
    <w:abstractNumId w:val="3"/>
  </w:num>
  <w:num w:numId="26">
    <w:abstractNumId w:val="0"/>
  </w:num>
  <w:num w:numId="27">
    <w:abstractNumId w:val="14"/>
  </w:num>
  <w:num w:numId="28">
    <w:abstractNumId w:val="24"/>
  </w:num>
  <w:num w:numId="29">
    <w:abstractNumId w:val="26"/>
  </w:num>
  <w:num w:numId="30">
    <w:abstractNumId w:val="30"/>
  </w:num>
  <w:num w:numId="31">
    <w:abstractNumId w:val="10"/>
  </w:num>
  <w:num w:numId="32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activeWritingStyle w:appName="MSWord" w:lang="ko-KR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52E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609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999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8CF"/>
    <w:rsid w:val="00034A71"/>
    <w:rsid w:val="0003534A"/>
    <w:rsid w:val="0003547D"/>
    <w:rsid w:val="000354C0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5A7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2F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17E"/>
    <w:rsid w:val="000862A2"/>
    <w:rsid w:val="00086326"/>
    <w:rsid w:val="000863CC"/>
    <w:rsid w:val="000863ED"/>
    <w:rsid w:val="0008640C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CE9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196"/>
    <w:rsid w:val="000B033E"/>
    <w:rsid w:val="000B0436"/>
    <w:rsid w:val="000B0E9E"/>
    <w:rsid w:val="000B1449"/>
    <w:rsid w:val="000B14BB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394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133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067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484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0DEB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741"/>
    <w:rsid w:val="00144765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1D8E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76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4E2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4B3E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6A9"/>
    <w:rsid w:val="001E2856"/>
    <w:rsid w:val="001E2C25"/>
    <w:rsid w:val="001E30A3"/>
    <w:rsid w:val="001E30A8"/>
    <w:rsid w:val="001E3264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16D"/>
    <w:rsid w:val="00216218"/>
    <w:rsid w:val="002162F4"/>
    <w:rsid w:val="0021648A"/>
    <w:rsid w:val="00216C62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5E85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685"/>
    <w:rsid w:val="00246755"/>
    <w:rsid w:val="00246781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CF9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36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345"/>
    <w:rsid w:val="00293644"/>
    <w:rsid w:val="002937B7"/>
    <w:rsid w:val="00293B2D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1E78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8A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C4C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D1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9A5"/>
    <w:rsid w:val="002F7DFA"/>
    <w:rsid w:val="003009DD"/>
    <w:rsid w:val="00300D35"/>
    <w:rsid w:val="00300F24"/>
    <w:rsid w:val="00300F97"/>
    <w:rsid w:val="0030118B"/>
    <w:rsid w:val="00301B2F"/>
    <w:rsid w:val="00301CB1"/>
    <w:rsid w:val="00301EB7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74A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15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44E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614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D97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519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A5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392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3E6"/>
    <w:rsid w:val="004A079B"/>
    <w:rsid w:val="004A07A1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E55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1C1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1E44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47FC4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78"/>
    <w:rsid w:val="00554EB7"/>
    <w:rsid w:val="00554FCC"/>
    <w:rsid w:val="00555004"/>
    <w:rsid w:val="005555A7"/>
    <w:rsid w:val="00555602"/>
    <w:rsid w:val="00555662"/>
    <w:rsid w:val="0055580D"/>
    <w:rsid w:val="0055599C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6B5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877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644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AA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552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C3"/>
    <w:rsid w:val="005F54E2"/>
    <w:rsid w:val="005F5503"/>
    <w:rsid w:val="005F5666"/>
    <w:rsid w:val="005F5761"/>
    <w:rsid w:val="005F5B6D"/>
    <w:rsid w:val="005F64AB"/>
    <w:rsid w:val="005F66BB"/>
    <w:rsid w:val="005F6AD1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073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B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3E6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C8F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124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6DF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B2B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399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A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BF9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59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52D"/>
    <w:rsid w:val="00820605"/>
    <w:rsid w:val="0082063A"/>
    <w:rsid w:val="00820DC5"/>
    <w:rsid w:val="00820E7A"/>
    <w:rsid w:val="00820F86"/>
    <w:rsid w:val="00820FB8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3E11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3D0"/>
    <w:rsid w:val="00830839"/>
    <w:rsid w:val="008308CD"/>
    <w:rsid w:val="008308D5"/>
    <w:rsid w:val="00830A6E"/>
    <w:rsid w:val="00830FD6"/>
    <w:rsid w:val="00831168"/>
    <w:rsid w:val="008314EB"/>
    <w:rsid w:val="0083174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4151"/>
    <w:rsid w:val="0084420C"/>
    <w:rsid w:val="00844287"/>
    <w:rsid w:val="008444CA"/>
    <w:rsid w:val="0084453F"/>
    <w:rsid w:val="00844FBC"/>
    <w:rsid w:val="0084523E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7E9"/>
    <w:rsid w:val="0087191B"/>
    <w:rsid w:val="00871978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0FCE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1CE"/>
    <w:rsid w:val="008C5CD0"/>
    <w:rsid w:val="008C5D8F"/>
    <w:rsid w:val="008C5E20"/>
    <w:rsid w:val="008C60E1"/>
    <w:rsid w:val="008C6224"/>
    <w:rsid w:val="008C6612"/>
    <w:rsid w:val="008C6806"/>
    <w:rsid w:val="008C68D7"/>
    <w:rsid w:val="008C6D49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DE3"/>
    <w:rsid w:val="008E6EC8"/>
    <w:rsid w:val="008E70FF"/>
    <w:rsid w:val="008E7113"/>
    <w:rsid w:val="008E7A1F"/>
    <w:rsid w:val="008F0256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3CD5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8A5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9B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6AA9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2F3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0BAF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90C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965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4C3"/>
    <w:rsid w:val="009D47BA"/>
    <w:rsid w:val="009D49BC"/>
    <w:rsid w:val="009D4F8A"/>
    <w:rsid w:val="009D526B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0F2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1D73"/>
    <w:rsid w:val="00A12044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71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16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C9E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081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6A6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08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BD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03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27F77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7AF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CD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E7FD8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25A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21B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19B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8C0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F39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6FC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CE6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27A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2A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26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A67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ADC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16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328"/>
    <w:rsid w:val="00DB0345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BD"/>
    <w:rsid w:val="00DD44CC"/>
    <w:rsid w:val="00DD45EE"/>
    <w:rsid w:val="00DD491C"/>
    <w:rsid w:val="00DD4A04"/>
    <w:rsid w:val="00DD4CB9"/>
    <w:rsid w:val="00DD4ECC"/>
    <w:rsid w:val="00DD5305"/>
    <w:rsid w:val="00DD5692"/>
    <w:rsid w:val="00DD56B6"/>
    <w:rsid w:val="00DD5F69"/>
    <w:rsid w:val="00DD5FEB"/>
    <w:rsid w:val="00DD6216"/>
    <w:rsid w:val="00DD6309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09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50F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6884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6C2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1A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2F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F001E0"/>
    <w:rsid w:val="00F00250"/>
    <w:rsid w:val="00F0040E"/>
    <w:rsid w:val="00F008CE"/>
    <w:rsid w:val="00F0092A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A2C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D98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564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A63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11D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1DED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512D2F8"/>
    <w:rsid w:val="06AEA359"/>
    <w:rsid w:val="1DCFF883"/>
    <w:rsid w:val="277F06E4"/>
    <w:rsid w:val="46F13BEA"/>
    <w:rsid w:val="6D63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84A9778"/>
  <w15:chartTrackingRefBased/>
  <w15:docId w15:val="{1BA3EEA3-2B83-4F27-84FD-984C0526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B376C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  <w:style w:type="paragraph" w:customStyle="1" w:styleId="LGTdoc1">
    <w:name w:val="LGTdoc_제목1"/>
    <w:basedOn w:val="a0"/>
    <w:rsid w:val="002F55D1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uworddic">
    <w:name w:val="u_word_dic"/>
    <w:basedOn w:val="a1"/>
    <w:rsid w:val="00BB2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3c59aa32a0fc411a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da83f70528ae45bb" Type="http://schemas.microsoft.com/office/2018/08/relationships/commentsExtensible" Target="commentsExtensib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140C7-8F2A-41D9-AB04-85CBB0CD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3</Pages>
  <Words>1045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Hyundai Motor Company</Company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Hyundai Motor Company</dc:creator>
  <cp:keywords/>
  <dc:description/>
  <cp:revision>2</cp:revision>
  <cp:lastPrinted>2021-08-03T09:15:00Z</cp:lastPrinted>
  <dcterms:created xsi:type="dcterms:W3CDTF">2023-08-11T02:24:00Z</dcterms:created>
  <dcterms:modified xsi:type="dcterms:W3CDTF">2023-08-11T02:24:00Z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25c787f-039f-4287-bd0c-30008109edfc_Enabled">
    <vt:lpwstr>true</vt:lpwstr>
  </property>
  <property fmtid="{D5CDD505-2E9C-101B-9397-08002B2CF9AE}" pid="4" name="MSIP_Label_425c787f-039f-4287-bd0c-30008109edfc_SetDate">
    <vt:lpwstr>2022-11-04T05:35:52Z</vt:lpwstr>
  </property>
  <property fmtid="{D5CDD505-2E9C-101B-9397-08002B2CF9AE}" pid="5" name="MSIP_Label_425c787f-039f-4287-bd0c-30008109edfc_Method">
    <vt:lpwstr>Standard</vt:lpwstr>
  </property>
  <property fmtid="{D5CDD505-2E9C-101B-9397-08002B2CF9AE}" pid="6" name="MSIP_Label_425c787f-039f-4287-bd0c-30008109edfc_Name">
    <vt:lpwstr>사내한(평문)</vt:lpwstr>
  </property>
  <property fmtid="{D5CDD505-2E9C-101B-9397-08002B2CF9AE}" pid="7" name="MSIP_Label_425c787f-039f-4287-bd0c-30008109edfc_SiteId">
    <vt:lpwstr>f85ca5f1-aa23-4252-a83a-443d333b1fe7</vt:lpwstr>
  </property>
  <property fmtid="{D5CDD505-2E9C-101B-9397-08002B2CF9AE}" pid="8" name="MSIP_Label_425c787f-039f-4287-bd0c-30008109edfc_ActionId">
    <vt:lpwstr>fb5e307f-a430-44a6-83a4-d8766ee5571a</vt:lpwstr>
  </property>
  <property fmtid="{D5CDD505-2E9C-101B-9397-08002B2CF9AE}" pid="9" name="MSIP_Label_425c787f-039f-4287-bd0c-30008109edfc_ContentBits">
    <vt:lpwstr>0</vt:lpwstr>
  </property>
</Properties>
</file>